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7EE8" w14:textId="7FE1FC8D" w:rsidR="005E7CC3" w:rsidRPr="00702A03" w:rsidRDefault="00702A03" w:rsidP="005E7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b/>
          <w:bCs/>
          <w:sz w:val="21"/>
          <w:szCs w:val="21"/>
        </w:rPr>
      </w:pPr>
      <w:r w:rsidRPr="00702A03">
        <w:rPr>
          <w:b/>
          <w:bCs/>
          <w:sz w:val="21"/>
          <w:szCs w:val="21"/>
        </w:rPr>
        <w:t>NIS 2 E GOVERNO DEL RISCHIO CYBER: OBBLIGHI DEGLI ORGANI DI AMMINISTRAZIONE, ASSETTI ORGANIZZATIVI, ADEMPIMENTI PRATICI E PIANO DI ADEGUAMENTO.</w:t>
      </w:r>
    </w:p>
    <w:p w14:paraId="38CD2ADF" w14:textId="77777777" w:rsidR="005E7CC3" w:rsidRPr="00702A03" w:rsidRDefault="005E7CC3" w:rsidP="005E7CC3">
      <w:pPr>
        <w:jc w:val="both"/>
        <w:rPr>
          <w:sz w:val="21"/>
          <w:szCs w:val="21"/>
        </w:rPr>
      </w:pPr>
    </w:p>
    <w:p w14:paraId="4C2A0A9E" w14:textId="360F8992" w:rsidR="005E7CC3" w:rsidRPr="00702A03" w:rsidRDefault="005E7CC3" w:rsidP="005E7CC3">
      <w:pPr>
        <w:jc w:val="center"/>
        <w:rPr>
          <w:i/>
          <w:iCs/>
          <w:sz w:val="21"/>
          <w:szCs w:val="21"/>
        </w:rPr>
      </w:pPr>
      <w:r w:rsidRPr="00702A03">
        <w:rPr>
          <w:i/>
          <w:iCs/>
          <w:sz w:val="21"/>
          <w:szCs w:val="21"/>
        </w:rPr>
        <w:t>Workshop organizzato da FIVERS Studio Lega</w:t>
      </w:r>
      <w:r w:rsidR="00521212" w:rsidRPr="00702A03">
        <w:rPr>
          <w:i/>
          <w:iCs/>
          <w:sz w:val="21"/>
          <w:szCs w:val="21"/>
        </w:rPr>
        <w:t>l</w:t>
      </w:r>
      <w:r w:rsidRPr="00702A03">
        <w:rPr>
          <w:i/>
          <w:iCs/>
          <w:sz w:val="21"/>
          <w:szCs w:val="21"/>
        </w:rPr>
        <w:t>e e Tributario – Milano, 22 Giugno 2026</w:t>
      </w:r>
    </w:p>
    <w:p w14:paraId="0C8E4EC4" w14:textId="77777777" w:rsidR="005E7CC3" w:rsidRPr="00702A03" w:rsidRDefault="005E7CC3" w:rsidP="005E7CC3">
      <w:pPr>
        <w:jc w:val="both"/>
        <w:rPr>
          <w:b/>
          <w:bCs/>
          <w:sz w:val="21"/>
          <w:szCs w:val="21"/>
        </w:rPr>
      </w:pPr>
    </w:p>
    <w:p w14:paraId="721CB0E6" w14:textId="219E2CD1" w:rsidR="005E7CC3" w:rsidRPr="00702A03" w:rsidRDefault="005E7CC3" w:rsidP="005E7CC3">
      <w:pPr>
        <w:jc w:val="both"/>
        <w:rPr>
          <w:sz w:val="21"/>
          <w:szCs w:val="21"/>
        </w:rPr>
      </w:pPr>
      <w:r w:rsidRPr="00702A03">
        <w:rPr>
          <w:b/>
          <w:bCs/>
          <w:sz w:val="21"/>
          <w:szCs w:val="21"/>
        </w:rPr>
        <w:t>Durata:</w:t>
      </w:r>
      <w:r w:rsidRPr="00702A03">
        <w:rPr>
          <w:sz w:val="21"/>
          <w:szCs w:val="21"/>
        </w:rPr>
        <w:t xml:space="preserve"> 2 ore</w:t>
      </w:r>
    </w:p>
    <w:p w14:paraId="263F2DAF" w14:textId="208A3B96" w:rsidR="005E7CC3" w:rsidRPr="00702A03" w:rsidRDefault="005E7CC3" w:rsidP="005E7CC3">
      <w:pPr>
        <w:jc w:val="both"/>
        <w:rPr>
          <w:sz w:val="21"/>
          <w:szCs w:val="21"/>
        </w:rPr>
      </w:pPr>
      <w:r w:rsidRPr="00702A03">
        <w:rPr>
          <w:sz w:val="21"/>
          <w:szCs w:val="21"/>
        </w:rPr>
        <w:br/>
      </w:r>
      <w:r w:rsidRPr="00702A03">
        <w:rPr>
          <w:b/>
          <w:bCs/>
          <w:sz w:val="21"/>
          <w:szCs w:val="21"/>
        </w:rPr>
        <w:t>Destinatari:</w:t>
      </w:r>
      <w:r w:rsidRPr="00702A03">
        <w:rPr>
          <w:sz w:val="21"/>
          <w:szCs w:val="21"/>
        </w:rPr>
        <w:t xml:space="preserve"> General Counsel, Legal Director, Compliance Officer, Segretari del CdA, funzioni Risk, Governance e Cybersecurity</w:t>
      </w:r>
    </w:p>
    <w:p w14:paraId="1BD362E2" w14:textId="77777777" w:rsidR="005E7CC3" w:rsidRPr="00702A03" w:rsidRDefault="005E7CC3" w:rsidP="005E7CC3">
      <w:pPr>
        <w:jc w:val="both"/>
        <w:rPr>
          <w:sz w:val="21"/>
          <w:szCs w:val="21"/>
        </w:rPr>
      </w:pPr>
    </w:p>
    <w:p w14:paraId="2247128A" w14:textId="7B4E16C5" w:rsidR="005E7CC3" w:rsidRPr="00702A03" w:rsidRDefault="005E7CC3" w:rsidP="005E7CC3">
      <w:pPr>
        <w:jc w:val="both"/>
        <w:rPr>
          <w:sz w:val="21"/>
          <w:szCs w:val="21"/>
        </w:rPr>
      </w:pPr>
      <w:r w:rsidRPr="00702A03">
        <w:rPr>
          <w:b/>
          <w:bCs/>
          <w:sz w:val="21"/>
          <w:szCs w:val="21"/>
        </w:rPr>
        <w:t>Contesto:</w:t>
      </w:r>
      <w:r w:rsidRPr="00702A03">
        <w:rPr>
          <w:sz w:val="21"/>
          <w:szCs w:val="21"/>
        </w:rPr>
        <w:t xml:space="preserve"> La disciplina NIS 2 segna il passaggio da una concezione prevalentemente tecnica della cybersicurezza a un modello integrato di governo del rischio cyber, fondato su responsabilità degli organi di amministrazione, assetti organizzativi adeguati, gestione documentata dei rischi, continuità operativa, sicurezza della supply chain, capacità di rilevazione e notifica degli incidenti, formazione e controllo periodico dell’efficacia delle misure adottate.</w:t>
      </w:r>
    </w:p>
    <w:p w14:paraId="1B9EF5A7" w14:textId="3EA5F916" w:rsidR="005E7CC3" w:rsidRPr="00702A03" w:rsidRDefault="005E7CC3" w:rsidP="005E7CC3">
      <w:pPr>
        <w:jc w:val="both"/>
        <w:rPr>
          <w:sz w:val="21"/>
          <w:szCs w:val="21"/>
        </w:rPr>
      </w:pPr>
      <w:r w:rsidRPr="00702A03">
        <w:rPr>
          <w:sz w:val="21"/>
          <w:szCs w:val="21"/>
        </w:rPr>
        <w:t xml:space="preserve">Nel quadro italiano, il </w:t>
      </w:r>
      <w:r w:rsidR="00521212" w:rsidRPr="00702A03">
        <w:rPr>
          <w:sz w:val="21"/>
          <w:szCs w:val="21"/>
        </w:rPr>
        <w:t>D.lgs.</w:t>
      </w:r>
      <w:r w:rsidRPr="00702A03">
        <w:rPr>
          <w:sz w:val="21"/>
          <w:szCs w:val="21"/>
        </w:rPr>
        <w:t xml:space="preserve"> 138/2024, le determinazioni ACN e le FAQ ufficiali delineano un sistema di</w:t>
      </w:r>
      <w:r w:rsidRPr="00702A03">
        <w:rPr>
          <w:i/>
          <w:iCs/>
          <w:sz w:val="21"/>
          <w:szCs w:val="21"/>
        </w:rPr>
        <w:t xml:space="preserve"> compliance</w:t>
      </w:r>
      <w:r w:rsidRPr="00702A03">
        <w:rPr>
          <w:sz w:val="21"/>
          <w:szCs w:val="21"/>
        </w:rPr>
        <w:t xml:space="preserve"> che richiede alle imprese non solo di adottare presidi tecnici, ma di dimostrare un processo strutturato e tracciabile di identificazione del perimetro NIS, attribuzione delle responsabilità, classificazione delle attività e dei servizi, valutazione dei fornitori rilevanti, definizione di policy e procedure, reporting verso il vertice e conservazione delle evidenze a supporto delle scelte effettuate.</w:t>
      </w:r>
    </w:p>
    <w:p w14:paraId="3C42C004" w14:textId="0DF6ABF0" w:rsidR="005E7CC3" w:rsidRPr="00702A03" w:rsidRDefault="005E7CC3" w:rsidP="005E7CC3">
      <w:pPr>
        <w:jc w:val="both"/>
        <w:rPr>
          <w:sz w:val="21"/>
          <w:szCs w:val="21"/>
        </w:rPr>
      </w:pPr>
      <w:r w:rsidRPr="00702A03">
        <w:rPr>
          <w:sz w:val="21"/>
          <w:szCs w:val="21"/>
        </w:rPr>
        <w:t xml:space="preserve">L’intervento propone una lettura operativa del </w:t>
      </w:r>
      <w:r w:rsidRPr="00702A03">
        <w:rPr>
          <w:i/>
          <w:iCs/>
          <w:sz w:val="21"/>
          <w:szCs w:val="21"/>
        </w:rPr>
        <w:t>framework</w:t>
      </w:r>
      <w:r w:rsidRPr="00702A03">
        <w:rPr>
          <w:sz w:val="21"/>
          <w:szCs w:val="21"/>
        </w:rPr>
        <w:t xml:space="preserve"> NIS 2, con l’obiettivo di tradurre obblighi normativi e indicazioni ACN in decisioni, attività e strumenti concretamente utilizzabili dall’impresa: dalle delibere del CdA alla governance interna, dalla categorizzazione delle attività e dei servizi alla gestione dei fornitori rilevanti, fino alla </w:t>
      </w:r>
      <w:r w:rsidRPr="00702A03">
        <w:rPr>
          <w:i/>
          <w:iCs/>
          <w:sz w:val="21"/>
          <w:szCs w:val="21"/>
        </w:rPr>
        <w:t>roadmap</w:t>
      </w:r>
      <w:r w:rsidRPr="00702A03">
        <w:rPr>
          <w:sz w:val="21"/>
          <w:szCs w:val="21"/>
        </w:rPr>
        <w:t xml:space="preserve"> di adeguamento alle misure di sicurezza, alle procedure di </w:t>
      </w:r>
      <w:r w:rsidRPr="00702A03">
        <w:rPr>
          <w:i/>
          <w:iCs/>
          <w:sz w:val="21"/>
          <w:szCs w:val="21"/>
        </w:rPr>
        <w:t>incident reporting</w:t>
      </w:r>
      <w:r w:rsidRPr="00702A03">
        <w:rPr>
          <w:sz w:val="21"/>
          <w:szCs w:val="21"/>
        </w:rPr>
        <w:t xml:space="preserve"> e ai controlli di audit.</w:t>
      </w:r>
    </w:p>
    <w:p w14:paraId="00E72511" w14:textId="77777777" w:rsidR="00702A03" w:rsidRPr="00702A03" w:rsidRDefault="00702A03" w:rsidP="005E7CC3">
      <w:pPr>
        <w:jc w:val="both"/>
        <w:rPr>
          <w:b/>
          <w:bCs/>
          <w:sz w:val="21"/>
          <w:szCs w:val="21"/>
        </w:rPr>
      </w:pPr>
    </w:p>
    <w:p w14:paraId="34E895B8" w14:textId="6F9D4EDB" w:rsidR="005E7CC3" w:rsidRPr="00702A03" w:rsidRDefault="005E7CC3" w:rsidP="005E7CC3">
      <w:pPr>
        <w:jc w:val="both"/>
        <w:rPr>
          <w:b/>
          <w:bCs/>
          <w:sz w:val="21"/>
          <w:szCs w:val="21"/>
        </w:rPr>
      </w:pPr>
      <w:r w:rsidRPr="00702A03">
        <w:rPr>
          <w:b/>
          <w:bCs/>
          <w:sz w:val="21"/>
          <w:szCs w:val="21"/>
        </w:rPr>
        <w:t>Obiettivo dell’incontro.</w:t>
      </w:r>
    </w:p>
    <w:p w14:paraId="58D1B0D3" w14:textId="77777777" w:rsidR="005E7CC3" w:rsidRPr="00702A03" w:rsidRDefault="005E7CC3" w:rsidP="005E7CC3">
      <w:pPr>
        <w:jc w:val="both"/>
        <w:rPr>
          <w:sz w:val="21"/>
          <w:szCs w:val="21"/>
        </w:rPr>
      </w:pPr>
    </w:p>
    <w:p w14:paraId="59C47DDF" w14:textId="77777777" w:rsidR="005E7CC3" w:rsidRPr="00702A03" w:rsidRDefault="005E7CC3" w:rsidP="005E7CC3">
      <w:pPr>
        <w:jc w:val="both"/>
        <w:rPr>
          <w:sz w:val="21"/>
          <w:szCs w:val="21"/>
        </w:rPr>
      </w:pPr>
      <w:r w:rsidRPr="00702A03">
        <w:rPr>
          <w:sz w:val="21"/>
          <w:szCs w:val="21"/>
        </w:rPr>
        <w:t>Fornire ai General Counsel una guida pratica per comprendere cosa deve fare l’impresa, quali decisioni devono essere assunte dal CdA, quali funzioni devono essere coinvolte e come strutturare un piano di adeguamento documentabile e difendibile.</w:t>
      </w:r>
    </w:p>
    <w:p w14:paraId="79D29931" w14:textId="77777777" w:rsidR="005E7CC3" w:rsidRPr="00702A03" w:rsidRDefault="005E7CC3" w:rsidP="005E7CC3">
      <w:pPr>
        <w:jc w:val="both"/>
        <w:rPr>
          <w:b/>
          <w:bCs/>
          <w:sz w:val="21"/>
          <w:szCs w:val="21"/>
        </w:rPr>
      </w:pPr>
    </w:p>
    <w:p w14:paraId="55260DB5" w14:textId="77777777" w:rsidR="00702A03" w:rsidRDefault="00702A03" w:rsidP="005E7CC3">
      <w:pPr>
        <w:jc w:val="center"/>
        <w:rPr>
          <w:b/>
          <w:bCs/>
          <w:sz w:val="21"/>
          <w:szCs w:val="21"/>
        </w:rPr>
      </w:pPr>
    </w:p>
    <w:p w14:paraId="0BE7909A" w14:textId="77777777" w:rsidR="00702A03" w:rsidRDefault="00702A03" w:rsidP="005E7CC3">
      <w:pPr>
        <w:jc w:val="center"/>
        <w:rPr>
          <w:b/>
          <w:bCs/>
          <w:sz w:val="21"/>
          <w:szCs w:val="21"/>
        </w:rPr>
      </w:pPr>
    </w:p>
    <w:p w14:paraId="621DCB09" w14:textId="2FE8AAA7" w:rsidR="005E7CC3" w:rsidRPr="00702A03" w:rsidRDefault="005E7CC3" w:rsidP="005E7CC3">
      <w:pPr>
        <w:jc w:val="center"/>
        <w:rPr>
          <w:b/>
          <w:bCs/>
          <w:sz w:val="21"/>
          <w:szCs w:val="21"/>
        </w:rPr>
      </w:pPr>
      <w:r w:rsidRPr="00702A03">
        <w:rPr>
          <w:b/>
          <w:bCs/>
          <w:sz w:val="21"/>
          <w:szCs w:val="21"/>
        </w:rPr>
        <w:lastRenderedPageBreak/>
        <w:t>PROGRAMMA.</w:t>
      </w:r>
    </w:p>
    <w:p w14:paraId="4C210150" w14:textId="77777777" w:rsidR="005E7CC3" w:rsidRPr="00702A03" w:rsidRDefault="005E7CC3" w:rsidP="005E7CC3">
      <w:pPr>
        <w:jc w:val="both"/>
        <w:rPr>
          <w:sz w:val="21"/>
          <w:szCs w:val="21"/>
        </w:rPr>
      </w:pPr>
    </w:p>
    <w:p w14:paraId="44FF570C" w14:textId="77777777" w:rsidR="005E7CC3" w:rsidRPr="00702A03" w:rsidRDefault="005E7CC3" w:rsidP="005E7CC3">
      <w:pPr>
        <w:shd w:val="clear" w:color="auto" w:fill="D5DCE4" w:themeFill="text2" w:themeFillTint="33"/>
        <w:jc w:val="both"/>
        <w:rPr>
          <w:b/>
          <w:bCs/>
          <w:sz w:val="21"/>
          <w:szCs w:val="21"/>
        </w:rPr>
      </w:pPr>
      <w:r w:rsidRPr="00702A03">
        <w:rPr>
          <w:b/>
          <w:bCs/>
          <w:sz w:val="21"/>
          <w:szCs w:val="21"/>
        </w:rPr>
        <w:t>1. NIS 2 come tema di governance aziendale.</w:t>
      </w:r>
    </w:p>
    <w:p w14:paraId="2C02F389" w14:textId="072F849E" w:rsidR="005E7CC3" w:rsidRPr="00702A03" w:rsidRDefault="005E7CC3" w:rsidP="005E7CC3">
      <w:pPr>
        <w:jc w:val="both"/>
        <w:rPr>
          <w:sz w:val="21"/>
          <w:szCs w:val="21"/>
        </w:rPr>
      </w:pPr>
      <w:r w:rsidRPr="00702A03">
        <w:rPr>
          <w:sz w:val="21"/>
          <w:szCs w:val="21"/>
        </w:rPr>
        <w:br/>
        <w:t>Perimetro applicativo, soggetti essenziali e importanti, responsabilità degli organi di amministrazione e ruolo del General Counsel nella messa a terra degli obblighi.</w:t>
      </w:r>
    </w:p>
    <w:p w14:paraId="61DBB7A6" w14:textId="77777777" w:rsidR="005E7CC3" w:rsidRPr="00702A03" w:rsidRDefault="005E7CC3" w:rsidP="005E7CC3">
      <w:pPr>
        <w:jc w:val="both"/>
        <w:rPr>
          <w:b/>
          <w:bCs/>
          <w:sz w:val="21"/>
          <w:szCs w:val="21"/>
        </w:rPr>
      </w:pPr>
    </w:p>
    <w:p w14:paraId="6E435FD7" w14:textId="35068890" w:rsidR="005E7CC3" w:rsidRPr="00702A03" w:rsidRDefault="005E7CC3" w:rsidP="005E7CC3">
      <w:pPr>
        <w:shd w:val="clear" w:color="auto" w:fill="D5DCE4" w:themeFill="text2" w:themeFillTint="33"/>
        <w:jc w:val="both"/>
        <w:rPr>
          <w:b/>
          <w:bCs/>
          <w:sz w:val="21"/>
          <w:szCs w:val="21"/>
        </w:rPr>
      </w:pPr>
      <w:r w:rsidRPr="00702A03">
        <w:rPr>
          <w:b/>
          <w:bCs/>
          <w:sz w:val="21"/>
          <w:szCs w:val="21"/>
        </w:rPr>
        <w:t xml:space="preserve">2. </w:t>
      </w:r>
      <w:r w:rsidR="007565AC" w:rsidRPr="00702A03">
        <w:rPr>
          <w:b/>
          <w:bCs/>
          <w:sz w:val="21"/>
          <w:szCs w:val="21"/>
        </w:rPr>
        <w:t>Obblighi degli organi di amministrazione: delibere, responsabilità e controllo</w:t>
      </w:r>
      <w:r w:rsidRPr="00702A03">
        <w:rPr>
          <w:b/>
          <w:bCs/>
          <w:sz w:val="21"/>
          <w:szCs w:val="21"/>
        </w:rPr>
        <w:t>.</w:t>
      </w:r>
    </w:p>
    <w:p w14:paraId="28A41FB9" w14:textId="77777777" w:rsidR="005E7CC3" w:rsidRPr="00702A03" w:rsidRDefault="005E7CC3" w:rsidP="005E7CC3">
      <w:pPr>
        <w:jc w:val="both"/>
        <w:rPr>
          <w:sz w:val="21"/>
          <w:szCs w:val="21"/>
        </w:rPr>
      </w:pPr>
    </w:p>
    <w:p w14:paraId="31E4CCF9" w14:textId="52E4CF1F" w:rsidR="005E7CC3" w:rsidRPr="00702A03" w:rsidRDefault="007565AC" w:rsidP="005E7CC3">
      <w:pPr>
        <w:jc w:val="both"/>
        <w:rPr>
          <w:sz w:val="21"/>
          <w:szCs w:val="21"/>
        </w:rPr>
      </w:pPr>
      <w:r w:rsidRPr="00702A03">
        <w:rPr>
          <w:sz w:val="21"/>
          <w:szCs w:val="21"/>
        </w:rPr>
        <w:t xml:space="preserve">Le decisioni da portare al Consiglio alla luce dell’art. 23 del </w:t>
      </w:r>
      <w:r w:rsidR="00521212" w:rsidRPr="00702A03">
        <w:rPr>
          <w:sz w:val="21"/>
          <w:szCs w:val="21"/>
        </w:rPr>
        <w:t>D.lgs.</w:t>
      </w:r>
      <w:r w:rsidRPr="00702A03">
        <w:rPr>
          <w:sz w:val="21"/>
          <w:szCs w:val="21"/>
        </w:rPr>
        <w:t xml:space="preserve"> 138/2024: presa d’atto dell’inclusione nel perimetro NIS, approvazione del modello di governance, designazione e presidio dei ruoli chiave, piano di adeguamento, misure di gestione dei rischi cyber, formazione degli organi e dei dipendenti, flussi informativi, reporting e monitoraggio periodico dell’attuazione.</w:t>
      </w:r>
    </w:p>
    <w:p w14:paraId="6A36B0DA" w14:textId="77777777" w:rsidR="007565AC" w:rsidRPr="00702A03" w:rsidRDefault="007565AC" w:rsidP="005E7CC3">
      <w:pPr>
        <w:jc w:val="both"/>
        <w:rPr>
          <w:b/>
          <w:bCs/>
          <w:sz w:val="21"/>
          <w:szCs w:val="21"/>
        </w:rPr>
      </w:pPr>
    </w:p>
    <w:p w14:paraId="47E485F6" w14:textId="5FB2B812" w:rsidR="005E7CC3" w:rsidRPr="00702A03" w:rsidRDefault="005E7CC3" w:rsidP="007565AC">
      <w:pPr>
        <w:shd w:val="clear" w:color="auto" w:fill="D5DCE4" w:themeFill="text2" w:themeFillTint="33"/>
        <w:jc w:val="both"/>
        <w:rPr>
          <w:b/>
          <w:bCs/>
          <w:sz w:val="21"/>
          <w:szCs w:val="21"/>
        </w:rPr>
      </w:pPr>
      <w:r w:rsidRPr="00702A03">
        <w:rPr>
          <w:b/>
          <w:bCs/>
          <w:sz w:val="21"/>
          <w:szCs w:val="21"/>
        </w:rPr>
        <w:t xml:space="preserve">3. </w:t>
      </w:r>
      <w:r w:rsidR="007565AC" w:rsidRPr="00702A03">
        <w:rPr>
          <w:b/>
          <w:bCs/>
          <w:sz w:val="21"/>
          <w:szCs w:val="21"/>
        </w:rPr>
        <w:t>Governance operativa NIS e allocazione delle responsabilità.</w:t>
      </w:r>
    </w:p>
    <w:p w14:paraId="1C37E8F7" w14:textId="77777777" w:rsidR="007565AC" w:rsidRPr="00702A03" w:rsidRDefault="007565AC" w:rsidP="005E7CC3">
      <w:pPr>
        <w:jc w:val="both"/>
        <w:rPr>
          <w:sz w:val="21"/>
          <w:szCs w:val="21"/>
        </w:rPr>
      </w:pPr>
    </w:p>
    <w:p w14:paraId="3A26BF46" w14:textId="664C67D3" w:rsidR="005E7CC3" w:rsidRPr="00702A03" w:rsidRDefault="007565AC" w:rsidP="005E7CC3">
      <w:pPr>
        <w:jc w:val="both"/>
        <w:rPr>
          <w:sz w:val="21"/>
          <w:szCs w:val="21"/>
        </w:rPr>
      </w:pPr>
      <w:r w:rsidRPr="00702A03">
        <w:rPr>
          <w:sz w:val="21"/>
          <w:szCs w:val="21"/>
        </w:rPr>
        <w:t>Ruoli previsti dal Decreto NIS e dalla Determinazione ACN n. 127437/2026: organi di amministrazione e direttivi, punto di contatto, sostituto, referente CSIRT, segreteria e operatori. Coordinamento con Legal, Compliance, IT, Cybersecurity, Risk, Procurement, HR e Internal Audit per costruire una matrice di responsabilità chiara, tracciabile e orientata al reporting verso il CdA.</w:t>
      </w:r>
    </w:p>
    <w:p w14:paraId="1FA11A5E" w14:textId="77777777" w:rsidR="007565AC" w:rsidRPr="00702A03" w:rsidRDefault="007565AC" w:rsidP="005E7CC3">
      <w:pPr>
        <w:jc w:val="both"/>
        <w:rPr>
          <w:b/>
          <w:bCs/>
          <w:sz w:val="21"/>
          <w:szCs w:val="21"/>
        </w:rPr>
      </w:pPr>
    </w:p>
    <w:p w14:paraId="340A08E4" w14:textId="251ABBDA" w:rsidR="005E7CC3" w:rsidRPr="00702A03" w:rsidRDefault="005E7CC3" w:rsidP="005E7CC3">
      <w:pPr>
        <w:shd w:val="clear" w:color="auto" w:fill="D5DCE4" w:themeFill="text2" w:themeFillTint="33"/>
        <w:jc w:val="both"/>
        <w:rPr>
          <w:b/>
          <w:bCs/>
          <w:sz w:val="21"/>
          <w:szCs w:val="21"/>
        </w:rPr>
      </w:pPr>
      <w:r w:rsidRPr="00702A03">
        <w:rPr>
          <w:b/>
          <w:bCs/>
          <w:sz w:val="21"/>
          <w:szCs w:val="21"/>
        </w:rPr>
        <w:t xml:space="preserve">4. </w:t>
      </w:r>
      <w:r w:rsidR="007565AC" w:rsidRPr="00702A03">
        <w:rPr>
          <w:b/>
          <w:bCs/>
          <w:sz w:val="21"/>
          <w:szCs w:val="21"/>
        </w:rPr>
        <w:t>Adempimenti ACN: aggiornamento delle informazioni e scadenza del 30 giugno</w:t>
      </w:r>
      <w:r w:rsidRPr="00702A03">
        <w:rPr>
          <w:b/>
          <w:bCs/>
          <w:sz w:val="21"/>
          <w:szCs w:val="21"/>
        </w:rPr>
        <w:t>.</w:t>
      </w:r>
    </w:p>
    <w:p w14:paraId="315630E6" w14:textId="77777777" w:rsidR="005E7CC3" w:rsidRPr="00702A03" w:rsidRDefault="005E7CC3" w:rsidP="005E7CC3">
      <w:pPr>
        <w:jc w:val="both"/>
        <w:rPr>
          <w:b/>
          <w:bCs/>
          <w:sz w:val="21"/>
          <w:szCs w:val="21"/>
        </w:rPr>
      </w:pPr>
    </w:p>
    <w:p w14:paraId="7F888155" w14:textId="005D05DD" w:rsidR="007565AC" w:rsidRPr="00702A03" w:rsidRDefault="007565AC" w:rsidP="005E7CC3">
      <w:pPr>
        <w:jc w:val="both"/>
        <w:rPr>
          <w:sz w:val="21"/>
          <w:szCs w:val="21"/>
        </w:rPr>
      </w:pPr>
      <w:r w:rsidRPr="00702A03">
        <w:rPr>
          <w:sz w:val="21"/>
          <w:szCs w:val="21"/>
        </w:rPr>
        <w:t xml:space="preserve">Aggiornamento annuale e continuo delle informazioni secondo la Determinazione ACN n. 127437/2026 e focus sull’adempimento ex art. 30 del </w:t>
      </w:r>
      <w:r w:rsidR="00521212" w:rsidRPr="00702A03">
        <w:rPr>
          <w:sz w:val="21"/>
          <w:szCs w:val="21"/>
        </w:rPr>
        <w:t>D.lgs.</w:t>
      </w:r>
      <w:r w:rsidRPr="00702A03">
        <w:rPr>
          <w:sz w:val="21"/>
          <w:szCs w:val="21"/>
        </w:rPr>
        <w:t xml:space="preserve"> 138/2024: elencazione e categorizzazione delle attività e dei servizi entro il 30 giugno 2026, attribuzione delle categorie di rilevanza, conservazione delle evidenze a supporto delle valutazioni e raccordo con le future misure di sicurezza.</w:t>
      </w:r>
    </w:p>
    <w:p w14:paraId="06E2A2AA" w14:textId="77777777" w:rsidR="007565AC" w:rsidRPr="00702A03" w:rsidRDefault="007565AC" w:rsidP="005E7CC3">
      <w:pPr>
        <w:jc w:val="both"/>
        <w:rPr>
          <w:b/>
          <w:bCs/>
          <w:sz w:val="21"/>
          <w:szCs w:val="21"/>
        </w:rPr>
      </w:pPr>
    </w:p>
    <w:p w14:paraId="78CAADC3" w14:textId="533C8956" w:rsidR="005E7CC3" w:rsidRPr="00702A03" w:rsidRDefault="005E7CC3" w:rsidP="005E7CC3">
      <w:pPr>
        <w:shd w:val="clear" w:color="auto" w:fill="D5DCE4" w:themeFill="text2" w:themeFillTint="33"/>
        <w:jc w:val="both"/>
        <w:rPr>
          <w:b/>
          <w:bCs/>
          <w:sz w:val="21"/>
          <w:szCs w:val="21"/>
        </w:rPr>
      </w:pPr>
      <w:r w:rsidRPr="00702A03">
        <w:rPr>
          <w:b/>
          <w:bCs/>
          <w:sz w:val="21"/>
          <w:szCs w:val="21"/>
        </w:rPr>
        <w:t xml:space="preserve">5. </w:t>
      </w:r>
      <w:r w:rsidR="007565AC" w:rsidRPr="00702A03">
        <w:rPr>
          <w:b/>
          <w:bCs/>
          <w:sz w:val="21"/>
          <w:szCs w:val="21"/>
        </w:rPr>
        <w:t>Fornitori rilevanti NIS e governo della catena di approvvigionamento</w:t>
      </w:r>
      <w:r w:rsidRPr="00702A03">
        <w:rPr>
          <w:b/>
          <w:bCs/>
          <w:sz w:val="21"/>
          <w:szCs w:val="21"/>
        </w:rPr>
        <w:t>.</w:t>
      </w:r>
    </w:p>
    <w:p w14:paraId="49B321F2" w14:textId="77777777" w:rsidR="005E7CC3" w:rsidRPr="00702A03" w:rsidRDefault="005E7CC3" w:rsidP="005E7CC3">
      <w:pPr>
        <w:jc w:val="both"/>
        <w:rPr>
          <w:b/>
          <w:bCs/>
          <w:sz w:val="21"/>
          <w:szCs w:val="21"/>
        </w:rPr>
      </w:pPr>
    </w:p>
    <w:p w14:paraId="7301D355" w14:textId="1FD65DAC" w:rsidR="005E7CC3" w:rsidRPr="00702A03" w:rsidRDefault="007565AC" w:rsidP="005E7CC3">
      <w:pPr>
        <w:jc w:val="both"/>
        <w:rPr>
          <w:sz w:val="21"/>
          <w:szCs w:val="21"/>
        </w:rPr>
      </w:pPr>
      <w:r w:rsidRPr="00702A03">
        <w:rPr>
          <w:sz w:val="21"/>
          <w:szCs w:val="21"/>
        </w:rPr>
        <w:t>L’elencazione dei fornitori rilevanti alla luce della Determinazione ACN n. 127437/2026: criteri di individuazione, informazioni da comunicare ad ACN, codici CPV, forniture ICT, forniture non fungibili e forniture ICT non fungibili. I casi operativi più ricorrenti: contraente formale e fornitore effettivo, rivenditori e intermediari, subfornitori, fornitori infragruppo e fornitori esteri. Gli impatti pratici su procurement, contratti, valutazioni di continuità operativa (BIA), sicurezza della supply chain e gestione del rischio derivante da terze parti.</w:t>
      </w:r>
    </w:p>
    <w:p w14:paraId="56267309" w14:textId="77777777" w:rsidR="007565AC" w:rsidRPr="00702A03" w:rsidRDefault="007565AC" w:rsidP="005E7CC3">
      <w:pPr>
        <w:jc w:val="both"/>
        <w:rPr>
          <w:sz w:val="21"/>
          <w:szCs w:val="21"/>
        </w:rPr>
      </w:pPr>
    </w:p>
    <w:p w14:paraId="2CACFD77" w14:textId="0E5340B5" w:rsidR="005E7CC3" w:rsidRPr="00702A03" w:rsidRDefault="005E7CC3" w:rsidP="005E7CC3">
      <w:pPr>
        <w:shd w:val="clear" w:color="auto" w:fill="D5DCE4" w:themeFill="text2" w:themeFillTint="33"/>
        <w:jc w:val="both"/>
        <w:rPr>
          <w:b/>
          <w:bCs/>
          <w:sz w:val="21"/>
          <w:szCs w:val="21"/>
        </w:rPr>
      </w:pPr>
      <w:r w:rsidRPr="00702A03">
        <w:rPr>
          <w:b/>
          <w:bCs/>
          <w:sz w:val="21"/>
          <w:szCs w:val="21"/>
        </w:rPr>
        <w:t xml:space="preserve">6. Verso ottobre 2026: misure di sicurezza, </w:t>
      </w:r>
      <w:r w:rsidR="007565AC" w:rsidRPr="00702A03">
        <w:rPr>
          <w:b/>
          <w:bCs/>
          <w:sz w:val="21"/>
          <w:szCs w:val="21"/>
        </w:rPr>
        <w:t>gestione degli incidenti e assetto procedurale</w:t>
      </w:r>
      <w:r w:rsidRPr="00702A03">
        <w:rPr>
          <w:b/>
          <w:bCs/>
          <w:sz w:val="21"/>
          <w:szCs w:val="21"/>
        </w:rPr>
        <w:t>.</w:t>
      </w:r>
    </w:p>
    <w:p w14:paraId="55D04360" w14:textId="77777777" w:rsidR="007565AC" w:rsidRPr="00702A03" w:rsidRDefault="007565AC" w:rsidP="007565AC">
      <w:pPr>
        <w:jc w:val="both"/>
        <w:rPr>
          <w:sz w:val="21"/>
          <w:szCs w:val="21"/>
        </w:rPr>
      </w:pPr>
    </w:p>
    <w:p w14:paraId="68246A81" w14:textId="2AE60811" w:rsidR="007565AC" w:rsidRPr="00702A03" w:rsidRDefault="007565AC" w:rsidP="007565AC">
      <w:pPr>
        <w:jc w:val="both"/>
        <w:rPr>
          <w:sz w:val="21"/>
          <w:szCs w:val="21"/>
        </w:rPr>
      </w:pPr>
      <w:r w:rsidRPr="00702A03">
        <w:rPr>
          <w:sz w:val="21"/>
          <w:szCs w:val="21"/>
        </w:rPr>
        <w:t>Preparazione agli obblighi di base in materia di sicurezza informatica e notifica degli incidenti: verifica dello stato di adeguamento dell’organizzazione, aggiornamento delle policy e delle procedure interne, definizione dei flussi di gestione e comunicazione degli incidenti, coinvolgimento tempestivo degli organi di amministrazione, formazione delle funzioni interessate e predisposizione delle evidenze documentali necessarie in caso di verifiche.</w:t>
      </w:r>
    </w:p>
    <w:p w14:paraId="630A65FE" w14:textId="77777777" w:rsidR="007565AC" w:rsidRPr="00702A03" w:rsidRDefault="007565AC" w:rsidP="007565AC">
      <w:pPr>
        <w:pBdr>
          <w:bottom w:val="single" w:sz="6" w:space="1" w:color="auto"/>
        </w:pBdr>
        <w:jc w:val="both"/>
        <w:rPr>
          <w:sz w:val="21"/>
          <w:szCs w:val="21"/>
        </w:rPr>
      </w:pPr>
    </w:p>
    <w:p w14:paraId="770D7D28" w14:textId="77777777" w:rsidR="00521212" w:rsidRPr="00702A03" w:rsidRDefault="00521212" w:rsidP="007565AC">
      <w:pPr>
        <w:jc w:val="both"/>
        <w:rPr>
          <w:sz w:val="21"/>
          <w:szCs w:val="21"/>
        </w:rPr>
      </w:pPr>
    </w:p>
    <w:p w14:paraId="6DACE4EA" w14:textId="77777777" w:rsidR="00521212" w:rsidRPr="00702A03" w:rsidRDefault="00521212" w:rsidP="007565AC">
      <w:pPr>
        <w:jc w:val="both"/>
        <w:rPr>
          <w:b/>
          <w:bCs/>
          <w:sz w:val="21"/>
          <w:szCs w:val="21"/>
        </w:rPr>
      </w:pPr>
      <w:r w:rsidRPr="00702A03">
        <w:rPr>
          <w:b/>
          <w:bCs/>
          <w:sz w:val="21"/>
          <w:szCs w:val="21"/>
        </w:rPr>
        <w:t xml:space="preserve">Relatore: </w:t>
      </w:r>
      <w:r w:rsidRPr="00702A03">
        <w:rPr>
          <w:sz w:val="21"/>
          <w:szCs w:val="21"/>
        </w:rPr>
        <w:t>Alessandro del Ninno.</w:t>
      </w:r>
    </w:p>
    <w:p w14:paraId="753EA20F" w14:textId="53140775" w:rsidR="00521212" w:rsidRPr="00702A03" w:rsidRDefault="00521212" w:rsidP="007565AC">
      <w:pPr>
        <w:jc w:val="both"/>
        <w:rPr>
          <w:sz w:val="21"/>
          <w:szCs w:val="21"/>
        </w:rPr>
      </w:pPr>
      <w:r w:rsidRPr="00702A03">
        <w:rPr>
          <w:sz w:val="21"/>
          <w:szCs w:val="21"/>
        </w:rPr>
        <w:br/>
        <w:t xml:space="preserve">Avvocato del Foro di Roma, Partner di FIVERS Studio Legale e Tributario e professore di </w:t>
      </w:r>
      <w:r w:rsidRPr="00702A03">
        <w:rPr>
          <w:i/>
          <w:iCs/>
          <w:sz w:val="21"/>
          <w:szCs w:val="21"/>
        </w:rPr>
        <w:t>Intelligenza Artificiale, Machine Learning e Diritto</w:t>
      </w:r>
      <w:r w:rsidRPr="00702A03">
        <w:rPr>
          <w:sz w:val="21"/>
          <w:szCs w:val="21"/>
        </w:rPr>
        <w:t xml:space="preserve"> presso l’Università LUISS Guido Carli di Roma. Svolge attività professionale e scientifica nei settori del diritto delle tecnologie, data protection, cybersecurity, proprietà intellettuale, intelligenza artificiale e governance dei processi digitali, assistendo imprese e gruppi societari nella gestione dei profili legali e regolatori dell’innovazione.</w:t>
      </w:r>
    </w:p>
    <w:p w14:paraId="5551A688" w14:textId="77777777" w:rsidR="005E7CC3" w:rsidRPr="00702A03" w:rsidRDefault="005E7CC3" w:rsidP="005E7CC3">
      <w:pPr>
        <w:jc w:val="both"/>
        <w:rPr>
          <w:b/>
          <w:bCs/>
          <w:sz w:val="21"/>
          <w:szCs w:val="21"/>
        </w:rPr>
      </w:pPr>
    </w:p>
    <w:p w14:paraId="10932DCE" w14:textId="515A2E66" w:rsidR="00E83124" w:rsidRPr="00702A03" w:rsidRDefault="00E83124" w:rsidP="005E7CC3">
      <w:pPr>
        <w:jc w:val="both"/>
        <w:rPr>
          <w:sz w:val="21"/>
          <w:szCs w:val="21"/>
        </w:rPr>
      </w:pPr>
    </w:p>
    <w:sectPr w:rsidR="00E83124" w:rsidRPr="00702A03" w:rsidSect="003538EE">
      <w:headerReference w:type="default" r:id="rId7"/>
      <w:footerReference w:type="default" r:id="rId8"/>
      <w:headerReference w:type="first" r:id="rId9"/>
      <w:footerReference w:type="first" r:id="rId10"/>
      <w:pgSz w:w="11901" w:h="16817"/>
      <w:pgMar w:top="2512" w:right="1134" w:bottom="851" w:left="1701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819D" w14:textId="77777777" w:rsidR="00AF02A7" w:rsidRDefault="00AF02A7" w:rsidP="00AD0AD8">
      <w:pPr>
        <w:spacing w:line="240" w:lineRule="auto"/>
      </w:pPr>
      <w:r>
        <w:separator/>
      </w:r>
    </w:p>
  </w:endnote>
  <w:endnote w:type="continuationSeparator" w:id="0">
    <w:p w14:paraId="71A05519" w14:textId="77777777" w:rsidR="00AF02A7" w:rsidRDefault="00AF02A7" w:rsidP="00AD0A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AREA SANS LIGHT">
    <w:altName w:val="Calibri"/>
    <w:panose1 w:val="00000000000000000000"/>
    <w:charset w:val="00"/>
    <w:family w:val="auto"/>
    <w:notTrueType/>
    <w:pitch w:val="variable"/>
    <w:sig w:usb0="8000000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AREASans-Light">
    <w:altName w:val="Cambria"/>
    <w:panose1 w:val="00000000000000000000"/>
    <w:charset w:val="00"/>
    <w:family w:val="auto"/>
    <w:notTrueType/>
    <w:pitch w:val="variable"/>
    <w:sig w:usb0="8000000F" w:usb1="4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9534" w14:textId="77777777" w:rsidR="00AD0AD8" w:rsidRDefault="00AD0AD8" w:rsidP="00AD0AD8">
    <w:pPr>
      <w:pStyle w:val="FIVERSIndirizzo"/>
    </w:pPr>
  </w:p>
  <w:p w14:paraId="53431719" w14:textId="09E82388" w:rsidR="00AD0AD8" w:rsidRPr="00AD0AD8" w:rsidRDefault="001D045D" w:rsidP="001D045D">
    <w:pPr>
      <w:pStyle w:val="FIVERSIndirizzo"/>
      <w:jc w:val="right"/>
    </w:pPr>
    <w:r>
      <w:t xml:space="preserve">                                                           </w:t>
    </w:r>
    <w:r>
      <w:tab/>
    </w:r>
    <w:r>
      <w:tab/>
    </w:r>
    <w:r>
      <w:tab/>
    </w:r>
    <w:r>
      <w:tab/>
    </w:r>
    <w:r>
      <w:tab/>
      <w:t xml:space="preserve">           </w:t>
    </w:r>
    <w:r w:rsidR="00AD0AD8" w:rsidRPr="00AD0AD8">
      <w:fldChar w:fldCharType="begin"/>
    </w:r>
    <w:r w:rsidR="00AD0AD8" w:rsidRPr="00AD0AD8">
      <w:instrText xml:space="preserve"> PAGE </w:instrText>
    </w:r>
    <w:r w:rsidR="00AD0AD8" w:rsidRPr="00AD0AD8">
      <w:fldChar w:fldCharType="separate"/>
    </w:r>
    <w:r w:rsidR="00AD0AD8" w:rsidRPr="00AD0AD8">
      <w:t>2</w:t>
    </w:r>
    <w:r w:rsidR="00AD0AD8" w:rsidRPr="00AD0AD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9BEC" w14:textId="77777777" w:rsidR="00AD0AD8" w:rsidRDefault="00AD0AD8" w:rsidP="00AD0AD8">
    <w:pPr>
      <w:pStyle w:val="FIVERSIndirizzo"/>
    </w:pPr>
  </w:p>
  <w:p w14:paraId="1DCD29F5" w14:textId="77777777" w:rsidR="009B3BB1" w:rsidRDefault="009B3BB1" w:rsidP="00AD0AD8">
    <w:pPr>
      <w:pStyle w:val="FIVERSIndirizzo"/>
    </w:pPr>
  </w:p>
  <w:p w14:paraId="46B2ED26" w14:textId="77777777" w:rsidR="009B3BB1" w:rsidRDefault="009B3BB1" w:rsidP="00AD0AD8">
    <w:pPr>
      <w:pStyle w:val="FIVERSIndirizzo"/>
    </w:pPr>
  </w:p>
  <w:p w14:paraId="65DD0BBF" w14:textId="221CA3A3" w:rsidR="00106C62" w:rsidRDefault="00C72FAA" w:rsidP="00106C62">
    <w:pPr>
      <w:pStyle w:val="FIVERSIndirizzo"/>
    </w:pPr>
    <w:r>
      <w:t xml:space="preserve">Via </w:t>
    </w:r>
    <w:r w:rsidR="00321A94">
      <w:t>Paleocapa 5</w:t>
    </w:r>
    <w:r w:rsidR="00106C62">
      <w:t>, 20121 Milano</w:t>
    </w:r>
    <w:r w:rsidR="00106C62">
      <w:br/>
      <w:t>T +39 02 3041 331</w:t>
    </w:r>
  </w:p>
  <w:p w14:paraId="57A46694" w14:textId="48A148AA" w:rsidR="00AD0AD8" w:rsidRDefault="00AD0AD8" w:rsidP="00AD0AD8">
    <w:pPr>
      <w:pStyle w:val="FIVERSIndirizzo"/>
    </w:pPr>
    <w:r>
      <w:t>Piazzale delle Belle Arti 6, 00196 Roma</w:t>
    </w:r>
    <w:r w:rsidR="009B3BB1">
      <w:br/>
    </w:r>
    <w:r>
      <w:t xml:space="preserve">T +39 06 </w:t>
    </w:r>
    <w:r w:rsidR="009E0C5F">
      <w:t>8403 0330</w:t>
    </w:r>
  </w:p>
  <w:p w14:paraId="2E79BA5E" w14:textId="716E1DEA" w:rsidR="00AD0AD8" w:rsidRDefault="00106C62" w:rsidP="00AD0AD8">
    <w:pPr>
      <w:pStyle w:val="FIVERSIndirizzo"/>
    </w:pPr>
    <w:r>
      <w:t>www.</w:t>
    </w:r>
    <w:r w:rsidR="009E0C5F">
      <w:t>5rs.it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9747" w14:textId="77777777" w:rsidR="00AF02A7" w:rsidRDefault="00AF02A7" w:rsidP="00AD0AD8">
      <w:pPr>
        <w:spacing w:line="240" w:lineRule="auto"/>
      </w:pPr>
      <w:r>
        <w:separator/>
      </w:r>
    </w:p>
  </w:footnote>
  <w:footnote w:type="continuationSeparator" w:id="0">
    <w:p w14:paraId="19C35421" w14:textId="77777777" w:rsidR="00AF02A7" w:rsidRDefault="00AF02A7" w:rsidP="00AD0A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62A7" w14:textId="6CFEDD4B" w:rsidR="00AD0AD8" w:rsidRDefault="009B4E8D">
    <w:pPr>
      <w:pStyle w:val="Intestazione"/>
    </w:pPr>
    <w:r>
      <w:rPr>
        <w:noProof/>
      </w:rPr>
      <w:drawing>
        <wp:inline distT="0" distB="0" distL="0" distR="0" wp14:anchorId="36E627C3" wp14:editId="47872935">
          <wp:extent cx="1957387" cy="990345"/>
          <wp:effectExtent l="0" t="0" r="0" b="63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159" cy="1005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4FA3" w14:textId="77777777" w:rsidR="002313C7" w:rsidRDefault="002313C7" w:rsidP="002313C7">
    <w:pPr>
      <w:pStyle w:val="FIVERSIndirizzo"/>
    </w:pPr>
  </w:p>
  <w:p w14:paraId="1E2835D9" w14:textId="77777777" w:rsidR="003538EE" w:rsidRDefault="003538EE" w:rsidP="003538EE">
    <w:pPr>
      <w:pStyle w:val="FIVERSIndirizzo"/>
    </w:pPr>
    <w:r>
      <w:t>Studio Legale e Tributario</w:t>
    </w:r>
  </w:p>
  <w:p w14:paraId="4706D30A" w14:textId="77777777" w:rsidR="003538EE" w:rsidRDefault="003538EE" w:rsidP="002313C7">
    <w:pPr>
      <w:pStyle w:val="FIVERSIndirizzo"/>
    </w:pPr>
  </w:p>
  <w:p w14:paraId="4EA7B15B" w14:textId="77777777" w:rsidR="003538EE" w:rsidRDefault="003538EE" w:rsidP="002313C7">
    <w:pPr>
      <w:pStyle w:val="FIVERSIndirizzo"/>
    </w:pPr>
  </w:p>
  <w:p w14:paraId="45ACD4B2" w14:textId="77777777" w:rsidR="003538EE" w:rsidRDefault="003538EE" w:rsidP="002313C7">
    <w:pPr>
      <w:pStyle w:val="FIVERSIndirizzo"/>
    </w:pPr>
  </w:p>
  <w:p w14:paraId="418C52DE" w14:textId="77777777" w:rsidR="003538EE" w:rsidRDefault="003538EE" w:rsidP="002313C7">
    <w:pPr>
      <w:pStyle w:val="FIVERSIndirizzo"/>
    </w:pPr>
  </w:p>
  <w:p w14:paraId="4089B430" w14:textId="1A39EF06" w:rsidR="00AD0AD8" w:rsidRDefault="00AD0AD8" w:rsidP="00106C62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E43BF6" wp14:editId="4A2ED502">
          <wp:simplePos x="0" y="0"/>
          <wp:positionH relativeFrom="margin">
            <wp:posOffset>-1424305</wp:posOffset>
          </wp:positionH>
          <wp:positionV relativeFrom="margin">
            <wp:posOffset>-2182072</wp:posOffset>
          </wp:positionV>
          <wp:extent cx="7560000" cy="1169710"/>
          <wp:effectExtent l="0" t="0" r="0" b="0"/>
          <wp:wrapSquare wrapText="bothSides"/>
          <wp:docPr id="5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728120" name="Elemento grafico 1120728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6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32C0F"/>
    <w:multiLevelType w:val="hybridMultilevel"/>
    <w:tmpl w:val="DAA46F06"/>
    <w:lvl w:ilvl="0" w:tplc="6C4C2B2A">
      <w:start w:val="1"/>
      <w:numFmt w:val="bullet"/>
      <w:lvlText w:val="—"/>
      <w:lvlJc w:val="left"/>
      <w:pPr>
        <w:ind w:left="284" w:hanging="284"/>
      </w:pPr>
      <w:rPr>
        <w:rFonts w:ascii="INAREA SANS LIGHT" w:hAnsi="INAREA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B510B"/>
    <w:multiLevelType w:val="hybridMultilevel"/>
    <w:tmpl w:val="0BD08A84"/>
    <w:lvl w:ilvl="0" w:tplc="C2DE55E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48142">
    <w:abstractNumId w:val="0"/>
  </w:num>
  <w:num w:numId="2" w16cid:durableId="1483889731">
    <w:abstractNumId w:val="1"/>
  </w:num>
  <w:num w:numId="3" w16cid:durableId="877814885">
    <w:abstractNumId w:val="0"/>
  </w:num>
  <w:num w:numId="4" w16cid:durableId="95598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D8"/>
    <w:rsid w:val="000E2321"/>
    <w:rsid w:val="00106C62"/>
    <w:rsid w:val="00113ACA"/>
    <w:rsid w:val="00116434"/>
    <w:rsid w:val="001D045D"/>
    <w:rsid w:val="00210FE0"/>
    <w:rsid w:val="002313C7"/>
    <w:rsid w:val="00285B42"/>
    <w:rsid w:val="00295E71"/>
    <w:rsid w:val="002D0E94"/>
    <w:rsid w:val="00321A94"/>
    <w:rsid w:val="003538EE"/>
    <w:rsid w:val="00386643"/>
    <w:rsid w:val="00402274"/>
    <w:rsid w:val="00454B5D"/>
    <w:rsid w:val="004A32D0"/>
    <w:rsid w:val="004A39EF"/>
    <w:rsid w:val="00521212"/>
    <w:rsid w:val="0057522F"/>
    <w:rsid w:val="005E0E34"/>
    <w:rsid w:val="005E7CC3"/>
    <w:rsid w:val="005F67FE"/>
    <w:rsid w:val="00626465"/>
    <w:rsid w:val="00665DFF"/>
    <w:rsid w:val="006960F8"/>
    <w:rsid w:val="006B173F"/>
    <w:rsid w:val="006C476C"/>
    <w:rsid w:val="006D7FD4"/>
    <w:rsid w:val="00702A03"/>
    <w:rsid w:val="007565AC"/>
    <w:rsid w:val="00765DFD"/>
    <w:rsid w:val="007C6D66"/>
    <w:rsid w:val="008574C4"/>
    <w:rsid w:val="009031FE"/>
    <w:rsid w:val="00953CD6"/>
    <w:rsid w:val="009A63E2"/>
    <w:rsid w:val="009B3BB1"/>
    <w:rsid w:val="009B4E8D"/>
    <w:rsid w:val="009B7290"/>
    <w:rsid w:val="009E0C5F"/>
    <w:rsid w:val="009F0D7F"/>
    <w:rsid w:val="00A1155C"/>
    <w:rsid w:val="00A53392"/>
    <w:rsid w:val="00A75849"/>
    <w:rsid w:val="00AA0CEF"/>
    <w:rsid w:val="00AD0704"/>
    <w:rsid w:val="00AD0AD8"/>
    <w:rsid w:val="00AD35CB"/>
    <w:rsid w:val="00AF02A7"/>
    <w:rsid w:val="00B461E4"/>
    <w:rsid w:val="00B71A99"/>
    <w:rsid w:val="00B95EBB"/>
    <w:rsid w:val="00BA0EFE"/>
    <w:rsid w:val="00BC095C"/>
    <w:rsid w:val="00C72FAA"/>
    <w:rsid w:val="00CC5D02"/>
    <w:rsid w:val="00CE5D77"/>
    <w:rsid w:val="00D21400"/>
    <w:rsid w:val="00D326E7"/>
    <w:rsid w:val="00DE2C9F"/>
    <w:rsid w:val="00E83124"/>
    <w:rsid w:val="00E83F71"/>
    <w:rsid w:val="00E84829"/>
    <w:rsid w:val="00F16CB2"/>
    <w:rsid w:val="00F70397"/>
    <w:rsid w:val="00F84017"/>
    <w:rsid w:val="00FA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53638"/>
  <w15:chartTrackingRefBased/>
  <w15:docId w15:val="{CC48273F-BFE5-CC4F-913D-969AE300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AC"/>
    <w:pPr>
      <w:tabs>
        <w:tab w:val="left" w:pos="4820"/>
      </w:tabs>
      <w:spacing w:line="280" w:lineRule="auto"/>
    </w:pPr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0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F8F00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0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0AD8"/>
    <w:pPr>
      <w:keepNext/>
      <w:keepLines/>
      <w:spacing w:before="160" w:after="80"/>
      <w:outlineLvl w:val="2"/>
    </w:pPr>
    <w:rPr>
      <w:rFonts w:eastAsiaTheme="majorEastAsia" w:cstheme="majorBidi"/>
      <w:color w:val="BF8F00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0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8F00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0AD8"/>
    <w:pPr>
      <w:keepNext/>
      <w:keepLines/>
      <w:spacing w:before="80" w:after="40"/>
      <w:outlineLvl w:val="4"/>
    </w:pPr>
    <w:rPr>
      <w:rFonts w:eastAsiaTheme="majorEastAsia" w:cstheme="majorBidi"/>
      <w:color w:val="BF8F0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0A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0A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0A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0A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 1"/>
    <w:basedOn w:val="Normale"/>
    <w:qFormat/>
    <w:rsid w:val="005F67FE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INAREA SANS LIGHT" w:hAnsi="INAREA SANS LIGHT" w:cs="INAREASans-Light"/>
      <w:color w:val="000000"/>
      <w:spacing w:val="6"/>
      <w:sz w:val="21"/>
      <w:szCs w:val="21"/>
      <w:lang w:val="en-GB"/>
    </w:rPr>
  </w:style>
  <w:style w:type="paragraph" w:customStyle="1" w:styleId="Intestazione2">
    <w:name w:val="Intestazione 2"/>
    <w:qFormat/>
    <w:rsid w:val="005F67FE"/>
    <w:pPr>
      <w:spacing w:line="190" w:lineRule="exact"/>
    </w:pPr>
    <w:rPr>
      <w:rFonts w:ascii="INAREA SANS LIGHT" w:hAnsi="INAREA SANS LIGHT" w:cs="INAREASans-Light"/>
      <w:color w:val="000000"/>
      <w:spacing w:val="6"/>
      <w:sz w:val="15"/>
      <w:szCs w:val="15"/>
      <w:lang w:val="en-GB"/>
    </w:rPr>
  </w:style>
  <w:style w:type="paragraph" w:customStyle="1" w:styleId="Intestazione3">
    <w:name w:val="Intestazione 3"/>
    <w:qFormat/>
    <w:rsid w:val="005F67FE"/>
    <w:pPr>
      <w:spacing w:line="150" w:lineRule="exact"/>
    </w:pPr>
    <w:rPr>
      <w:rFonts w:ascii="INAREA SANS LIGHT" w:hAnsi="INAREA SANS LIGHT" w:cs="INAREASans-Light"/>
      <w:color w:val="000000"/>
      <w:spacing w:val="6"/>
      <w:sz w:val="12"/>
      <w:szCs w:val="12"/>
      <w:lang w:val="en-GB"/>
    </w:rPr>
  </w:style>
  <w:style w:type="paragraph" w:customStyle="1" w:styleId="Stile1">
    <w:name w:val="Stile1"/>
    <w:basedOn w:val="Intestazione2"/>
    <w:qFormat/>
    <w:rsid w:val="005F67FE"/>
    <w:pPr>
      <w:jc w:val="right"/>
    </w:pPr>
  </w:style>
  <w:style w:type="paragraph" w:styleId="Nessunaspaziatura">
    <w:name w:val="No Spacing"/>
    <w:link w:val="NessunaspaziaturaCarattere"/>
    <w:uiPriority w:val="1"/>
    <w:qFormat/>
    <w:rsid w:val="005F67FE"/>
    <w:rPr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F67FE"/>
    <w:rPr>
      <w:sz w:val="22"/>
      <w:szCs w:val="22"/>
    </w:rPr>
  </w:style>
  <w:style w:type="paragraph" w:customStyle="1" w:styleId="FIVERSIndirizzo">
    <w:name w:val="FIVERS Indirizzo"/>
    <w:basedOn w:val="Normale"/>
    <w:qFormat/>
    <w:rsid w:val="00E84829"/>
    <w:pPr>
      <w:spacing w:before="120" w:line="240" w:lineRule="exact"/>
    </w:pPr>
    <w:rPr>
      <w:rFonts w:cs="Times New Roman (Corpo CS)"/>
      <w:color w:val="003B75"/>
      <w:sz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D0AD8"/>
    <w:rPr>
      <w:rFonts w:asciiTheme="majorHAnsi" w:eastAsiaTheme="majorEastAsia" w:hAnsiTheme="majorHAnsi" w:cstheme="majorBidi"/>
      <w:color w:val="BF8F00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0AD8"/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0AD8"/>
    <w:rPr>
      <w:rFonts w:eastAsiaTheme="majorEastAsia" w:cstheme="majorBidi"/>
      <w:color w:val="BF8F00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0AD8"/>
    <w:rPr>
      <w:rFonts w:eastAsiaTheme="majorEastAsia" w:cstheme="majorBidi"/>
      <w:i/>
      <w:iCs/>
      <w:color w:val="BF8F00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0AD8"/>
    <w:rPr>
      <w:rFonts w:eastAsiaTheme="majorEastAsia" w:cstheme="majorBidi"/>
      <w:color w:val="BF8F0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0A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0A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0A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0A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0A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0A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0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0A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0A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0A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0AD8"/>
    <w:rPr>
      <w:i/>
      <w:iCs/>
      <w:color w:val="BF8F00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0AD8"/>
    <w:pPr>
      <w:pBdr>
        <w:top w:val="single" w:sz="4" w:space="10" w:color="BF8F00" w:themeColor="accent1" w:themeShade="BF"/>
        <w:bottom w:val="single" w:sz="4" w:space="10" w:color="BF8F00" w:themeColor="accent1" w:themeShade="BF"/>
      </w:pBdr>
      <w:spacing w:before="360" w:after="360"/>
      <w:ind w:left="864" w:right="864"/>
      <w:jc w:val="center"/>
    </w:pPr>
    <w:rPr>
      <w:i/>
      <w:iCs/>
      <w:color w:val="BF8F00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0AD8"/>
    <w:rPr>
      <w:i/>
      <w:iCs/>
      <w:color w:val="BF8F00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0AD8"/>
    <w:rPr>
      <w:b/>
      <w:bCs/>
      <w:smallCaps/>
      <w:color w:val="BF8F00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D0AD8"/>
    <w:pPr>
      <w:tabs>
        <w:tab w:val="clear" w:pos="4820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0AD8"/>
  </w:style>
  <w:style w:type="paragraph" w:styleId="Pidipagina">
    <w:name w:val="footer"/>
    <w:basedOn w:val="Normale"/>
    <w:link w:val="PidipaginaCarattere"/>
    <w:uiPriority w:val="99"/>
    <w:unhideWhenUsed/>
    <w:rsid w:val="00AD0AD8"/>
    <w:pPr>
      <w:tabs>
        <w:tab w:val="clear" w:pos="4820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Personalizzato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C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FIVERS</dc:creator>
  <cp:keywords/>
  <dc:description/>
  <cp:lastModifiedBy>Avv. Alessandro Del Ninno</cp:lastModifiedBy>
  <cp:revision>2</cp:revision>
  <dcterms:created xsi:type="dcterms:W3CDTF">2026-06-05T19:16:00Z</dcterms:created>
  <dcterms:modified xsi:type="dcterms:W3CDTF">2026-06-05T19:16:00Z</dcterms:modified>
  <cp:category/>
</cp:coreProperties>
</file>